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7376"/>
      </w:tblGrid>
      <w:tr w:rsidR="005C6061" w:rsidRPr="009C4584" w14:paraId="4DB6E020" w14:textId="77777777" w:rsidTr="00C01431">
        <w:tc>
          <w:tcPr>
            <w:tcW w:w="1271" w:type="dxa"/>
          </w:tcPr>
          <w:p w14:paraId="79A30F9F" w14:textId="77777777" w:rsidR="005C6061" w:rsidRDefault="005C6061" w:rsidP="00C01431">
            <w:pPr>
              <w:tabs>
                <w:tab w:val="left" w:pos="765"/>
              </w:tabs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</w:pPr>
            <w:bookmarkStart w:id="0" w:name="_Hlk149660374"/>
            <w:bookmarkEnd w:id="0"/>
            <w:r w:rsidRPr="009C4584"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  <w:drawing>
                <wp:inline distT="0" distB="0" distL="0" distR="0" wp14:anchorId="7BC112CC" wp14:editId="38FB20E2">
                  <wp:extent cx="641267" cy="641267"/>
                  <wp:effectExtent l="0" t="0" r="6985" b="6985"/>
                  <wp:docPr id="1797513139" name="Picture 1797513139" descr="A logo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13139" name="Picture 1797513139" descr="A logo with white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37" cy="648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9B2EC2" w14:textId="77777777" w:rsidR="005C6061" w:rsidRPr="009C4584" w:rsidRDefault="005C6061" w:rsidP="00C01431">
            <w:pPr>
              <w:tabs>
                <w:tab w:val="left" w:pos="7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917" w:type="dxa"/>
          </w:tcPr>
          <w:p w14:paraId="7F5DCD2C" w14:textId="633BCF8E" w:rsidR="005C6061" w:rsidRPr="00730F0B" w:rsidRDefault="00390828" w:rsidP="00C01431">
            <w:pPr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 w:rsidRPr="00730F0B">
              <w:rPr>
                <w:rFonts w:cstheme="minorHAnsi"/>
                <w:b/>
                <w:bCs/>
                <w:sz w:val="24"/>
                <w:szCs w:val="24"/>
                <w:lang w:val="nl-BE"/>
              </w:rPr>
              <w:t>DAPEEP S.A.</w:t>
            </w:r>
          </w:p>
          <w:p w14:paraId="4C950533" w14:textId="74E80E71" w:rsidR="005C6061" w:rsidRPr="00730F0B" w:rsidRDefault="00390828" w:rsidP="00C01431">
            <w:pPr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</w:pPr>
            <w:r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Kastoros </w:t>
            </w:r>
            <w:r w:rsidR="005C6061"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72, </w:t>
            </w:r>
            <w:r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>Piraeus, GR</w:t>
            </w:r>
            <w:r w:rsidR="005C6061"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 18545</w:t>
            </w:r>
          </w:p>
          <w:p w14:paraId="0BF544E1" w14:textId="2ECA65F7" w:rsidR="005C6061" w:rsidRPr="009D64AE" w:rsidRDefault="00390828" w:rsidP="00C01431">
            <w:pPr>
              <w:rPr>
                <w:rFonts w:cstheme="minorHAnsi"/>
                <w:sz w:val="20"/>
                <w:szCs w:val="20"/>
              </w:rPr>
            </w:pPr>
            <w:r w:rsidRPr="00390828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el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+30 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211 8806755 </w:t>
            </w:r>
          </w:p>
          <w:p w14:paraId="5B602CED" w14:textId="27E478C4" w:rsidR="005C6061" w:rsidRPr="00390828" w:rsidRDefault="005C6061" w:rsidP="00C01431">
            <w:pPr>
              <w:rPr>
                <w:rFonts w:cstheme="minorHAnsi"/>
                <w:sz w:val="20"/>
                <w:szCs w:val="20"/>
              </w:rPr>
            </w:pPr>
            <w:r w:rsidRPr="009D64AE">
              <w:rPr>
                <w:rFonts w:cstheme="minorHAnsi"/>
                <w:sz w:val="20"/>
                <w:szCs w:val="20"/>
              </w:rPr>
              <w:t xml:space="preserve">email: </w:t>
            </w:r>
            <w:hyperlink r:id="rId9" w:history="1">
              <w:r w:rsidRPr="00A7253F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go@dapeep.gr</w:t>
              </w:r>
            </w:hyperlink>
          </w:p>
          <w:p w14:paraId="13A85AFD" w14:textId="77777777" w:rsidR="005C6061" w:rsidRDefault="005C6061" w:rsidP="00C01431">
            <w:pPr>
              <w:ind w:left="-111"/>
              <w:rPr>
                <w:rFonts w:cstheme="minorHAnsi"/>
              </w:rPr>
            </w:pPr>
          </w:p>
          <w:p w14:paraId="615324C7" w14:textId="77777777" w:rsidR="005C6061" w:rsidRPr="009C4584" w:rsidRDefault="005C6061" w:rsidP="00C01431">
            <w:pPr>
              <w:ind w:left="-111"/>
              <w:rPr>
                <w:rFonts w:cstheme="minorHAnsi"/>
              </w:rPr>
            </w:pPr>
          </w:p>
        </w:tc>
      </w:tr>
    </w:tbl>
    <w:p w14:paraId="0BDD4F94" w14:textId="2A5413EF" w:rsidR="0010011F" w:rsidRPr="005C516B" w:rsidRDefault="00AC57E4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</w:pP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TECHNICAL SHEET</w:t>
      </w:r>
      <w:r w:rsidR="00390828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 xml:space="preserve"> -</w:t>
      </w:r>
      <w:r w:rsidR="00963F69" w:rsidRPr="00DC582B">
        <w:rPr>
          <w:rFonts w:ascii="Open Sans" w:hAnsi="Open Sans" w:cs="Open Sans"/>
          <w:b/>
          <w:bCs/>
          <w:color w:val="424242"/>
          <w:sz w:val="21"/>
          <w:szCs w:val="21"/>
        </w:rPr>
        <w:t xml:space="preserve"> </w:t>
      </w:r>
      <w:r w:rsidRPr="00EA723A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AUCTION DAPEEP</w:t>
      </w:r>
      <w:r w:rsidR="000D0BB2" w:rsidRPr="00EA723A">
        <w:rPr>
          <w:rFonts w:ascii="Open Sans" w:hAnsi="Open Sans" w:cs="Open Sans"/>
          <w:b/>
          <w:bCs/>
          <w:color w:val="424242"/>
          <w:sz w:val="21"/>
          <w:szCs w:val="21"/>
        </w:rPr>
        <w:t>-202</w:t>
      </w:r>
      <w:r w:rsidR="00FE53DF" w:rsidRPr="00EA723A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5</w:t>
      </w:r>
      <w:r w:rsidR="000D0BB2" w:rsidRPr="00EA723A">
        <w:rPr>
          <w:rFonts w:ascii="Open Sans" w:hAnsi="Open Sans" w:cs="Open Sans"/>
          <w:b/>
          <w:bCs/>
          <w:color w:val="424242"/>
          <w:sz w:val="21"/>
          <w:szCs w:val="21"/>
        </w:rPr>
        <w:t>-</w:t>
      </w:r>
      <w:r w:rsidR="00EA723A">
        <w:rPr>
          <w:rFonts w:ascii="Open Sans" w:hAnsi="Open Sans" w:cs="Open Sans"/>
          <w:b/>
          <w:bCs/>
          <w:color w:val="424242"/>
          <w:sz w:val="21"/>
          <w:szCs w:val="21"/>
        </w:rPr>
        <w:t>0</w:t>
      </w:r>
      <w:r w:rsidR="005C516B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5</w:t>
      </w:r>
    </w:p>
    <w:p w14:paraId="72F3C5D9" w14:textId="77777777" w:rsidR="005C6061" w:rsidRPr="00DC582B" w:rsidRDefault="005C6061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</w:rPr>
      </w:pPr>
    </w:p>
    <w:tbl>
      <w:tblPr>
        <w:tblStyle w:val="TableGrid"/>
        <w:tblW w:w="10774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536"/>
      </w:tblGrid>
      <w:tr w:rsidR="00057537" w:rsidRPr="00DC582B" w14:paraId="56F0D557" w14:textId="77777777" w:rsidTr="00E92AD6">
        <w:tc>
          <w:tcPr>
            <w:tcW w:w="6238" w:type="dxa"/>
          </w:tcPr>
          <w:p w14:paraId="49A3F4CC" w14:textId="3F47A884" w:rsidR="00057537" w:rsidRPr="00EA723A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 Date</w:t>
            </w:r>
          </w:p>
        </w:tc>
        <w:tc>
          <w:tcPr>
            <w:tcW w:w="4536" w:type="dxa"/>
          </w:tcPr>
          <w:p w14:paraId="31F31EC9" w14:textId="3A33EF12" w:rsidR="00057537" w:rsidRPr="00EA723A" w:rsidRDefault="005C516B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25</w:t>
            </w:r>
            <w:r w:rsidR="007C6332"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June</w:t>
            </w:r>
            <w:r w:rsidR="007C6332"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2025</w:t>
            </w:r>
          </w:p>
        </w:tc>
      </w:tr>
      <w:tr w:rsidR="003325FE" w:rsidRPr="00DC582B" w14:paraId="03A17E1C" w14:textId="77777777" w:rsidTr="00E92AD6">
        <w:tc>
          <w:tcPr>
            <w:tcW w:w="6238" w:type="dxa"/>
          </w:tcPr>
          <w:p w14:paraId="41A188DB" w14:textId="48378773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Opening time of the trading period </w:t>
            </w:r>
          </w:p>
        </w:tc>
        <w:tc>
          <w:tcPr>
            <w:tcW w:w="4536" w:type="dxa"/>
          </w:tcPr>
          <w:p w14:paraId="6D0C157E" w14:textId="5E9BB84F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730F0B"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:00 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 (*)</w:t>
            </w:r>
          </w:p>
        </w:tc>
      </w:tr>
      <w:tr w:rsidR="003325FE" w:rsidRPr="00DC582B" w14:paraId="1375AC4C" w14:textId="77777777" w:rsidTr="00E92AD6">
        <w:tc>
          <w:tcPr>
            <w:tcW w:w="6238" w:type="dxa"/>
          </w:tcPr>
          <w:p w14:paraId="70356004" w14:textId="79A66797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Closing time of the trading period  </w:t>
            </w:r>
          </w:p>
        </w:tc>
        <w:tc>
          <w:tcPr>
            <w:tcW w:w="4536" w:type="dxa"/>
          </w:tcPr>
          <w:p w14:paraId="4AB16B7E" w14:textId="25EFF550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730F0B"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:30 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</w:p>
        </w:tc>
      </w:tr>
      <w:tr w:rsidR="003325FE" w:rsidRPr="00DC582B" w14:paraId="640C68CF" w14:textId="77777777" w:rsidTr="00E92AD6">
        <w:tc>
          <w:tcPr>
            <w:tcW w:w="6238" w:type="dxa"/>
          </w:tcPr>
          <w:p w14:paraId="03A536B0" w14:textId="252E2A02" w:rsidR="003325FE" w:rsidRPr="00AC57E4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Floor Price in 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€ / MWh </w:t>
            </w:r>
          </w:p>
        </w:tc>
        <w:tc>
          <w:tcPr>
            <w:tcW w:w="4536" w:type="dxa"/>
          </w:tcPr>
          <w:p w14:paraId="742FACFD" w14:textId="578E69BB" w:rsidR="003325FE" w:rsidRPr="00DF5EE1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DF5EE1">
              <w:rPr>
                <w:rFonts w:ascii="Open Sans" w:hAnsi="Open Sans" w:cs="Open Sans"/>
                <w:color w:val="424242"/>
                <w:sz w:val="21"/>
                <w:szCs w:val="21"/>
              </w:rPr>
              <w:t>0,</w:t>
            </w:r>
            <w:r w:rsidR="001B4E80" w:rsidRPr="00DF5EE1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 w:rsidR="00DF5EE1" w:rsidRPr="00DF5EE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</w:t>
            </w:r>
            <w:r w:rsidRPr="00DF5EE1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</w:tr>
      <w:tr w:rsidR="003325FE" w:rsidRPr="00DC582B" w14:paraId="756DB6DD" w14:textId="77777777" w:rsidTr="00E92AD6">
        <w:tc>
          <w:tcPr>
            <w:tcW w:w="6238" w:type="dxa"/>
          </w:tcPr>
          <w:p w14:paraId="5C4B32C1" w14:textId="69869F34" w:rsidR="003325FE" w:rsidRPr="00AC57E4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Amount of Guarantees of Origin (</w:t>
            </w:r>
            <w:r w:rsidRP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MWh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)  </w:t>
            </w:r>
          </w:p>
        </w:tc>
        <w:tc>
          <w:tcPr>
            <w:tcW w:w="4536" w:type="dxa"/>
          </w:tcPr>
          <w:p w14:paraId="4BE6EF0E" w14:textId="19E31BC7" w:rsidR="003325FE" w:rsidRPr="00DF5EE1" w:rsidRDefault="00DF5EE1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770.467</w:t>
            </w:r>
          </w:p>
        </w:tc>
      </w:tr>
      <w:tr w:rsidR="003325FE" w:rsidRPr="00DC582B" w14:paraId="67D2E4B6" w14:textId="77777777" w:rsidTr="00E92AD6">
        <w:tc>
          <w:tcPr>
            <w:tcW w:w="6238" w:type="dxa"/>
          </w:tcPr>
          <w:p w14:paraId="4FB290E8" w14:textId="63E83F42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Technology</w:t>
            </w:r>
          </w:p>
        </w:tc>
        <w:tc>
          <w:tcPr>
            <w:tcW w:w="4536" w:type="dxa"/>
          </w:tcPr>
          <w:p w14:paraId="106E056D" w14:textId="6DB9E1C0" w:rsidR="003325FE" w:rsidRPr="00EA723A" w:rsidRDefault="00E900C7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Photovoltaic</w:t>
            </w:r>
          </w:p>
        </w:tc>
      </w:tr>
      <w:tr w:rsidR="003325FE" w:rsidRPr="00DC582B" w14:paraId="17949E44" w14:textId="77777777" w:rsidTr="00E92AD6">
        <w:tc>
          <w:tcPr>
            <w:tcW w:w="6238" w:type="dxa"/>
          </w:tcPr>
          <w:p w14:paraId="21CE8D2E" w14:textId="5A8C1CEB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Location of the production devices</w:t>
            </w:r>
          </w:p>
        </w:tc>
        <w:tc>
          <w:tcPr>
            <w:tcW w:w="4536" w:type="dxa"/>
          </w:tcPr>
          <w:p w14:paraId="0C0ADB88" w14:textId="623E3B96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Interconnected System</w:t>
            </w:r>
          </w:p>
        </w:tc>
      </w:tr>
      <w:tr w:rsidR="003325FE" w:rsidRPr="00DC582B" w14:paraId="30843EFE" w14:textId="77777777" w:rsidTr="00E92AD6">
        <w:tc>
          <w:tcPr>
            <w:tcW w:w="6238" w:type="dxa"/>
          </w:tcPr>
          <w:p w14:paraId="24E7AA86" w14:textId="74410B9F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Commissioning date</w:t>
            </w:r>
          </w:p>
        </w:tc>
        <w:tc>
          <w:tcPr>
            <w:tcW w:w="4536" w:type="dxa"/>
          </w:tcPr>
          <w:p w14:paraId="6685A7D3" w14:textId="322E04DA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Later than 1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st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January 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2021</w:t>
            </w:r>
          </w:p>
        </w:tc>
      </w:tr>
      <w:tr w:rsidR="00057537" w:rsidRPr="0050299D" w14:paraId="4F3FAF1D" w14:textId="77777777" w:rsidTr="00E92AD6">
        <w:tc>
          <w:tcPr>
            <w:tcW w:w="6238" w:type="dxa"/>
            <w:shd w:val="clear" w:color="auto" w:fill="auto"/>
          </w:tcPr>
          <w:p w14:paraId="3CBD7897" w14:textId="083864E8" w:rsidR="00057537" w:rsidRPr="0050299D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</w:p>
        </w:tc>
        <w:tc>
          <w:tcPr>
            <w:tcW w:w="4536" w:type="dxa"/>
            <w:shd w:val="clear" w:color="auto" w:fill="auto"/>
          </w:tcPr>
          <w:p w14:paraId="550C2DA3" w14:textId="7B23FCD1" w:rsidR="00057537" w:rsidRPr="0050299D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 monthly production within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the period </w:t>
            </w:r>
            <w:r w:rsidR="00DF5EE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Januar</w:t>
            </w:r>
            <w:r w:rsidR="00D568B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y</w:t>
            </w:r>
            <w:r w:rsidR="00676DEF"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to </w:t>
            </w:r>
            <w:r w:rsidR="00DF5EE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March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 w:rsidR="00DF5EE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(202</w:t>
            </w:r>
            <w:r w:rsidR="00DF5EE1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Q</w:t>
            </w:r>
            <w:r w:rsidR="00D568B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3325FE" w:rsidRPr="00DC582B" w14:paraId="41AC61C6" w14:textId="77777777" w:rsidTr="00E92AD6">
        <w:tc>
          <w:tcPr>
            <w:tcW w:w="6238" w:type="dxa"/>
          </w:tcPr>
          <w:p w14:paraId="4394F0D7" w14:textId="6A339EBE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inimum step to raise bids in €</w:t>
            </w:r>
          </w:p>
        </w:tc>
        <w:tc>
          <w:tcPr>
            <w:tcW w:w="4536" w:type="dxa"/>
          </w:tcPr>
          <w:p w14:paraId="43E84BAF" w14:textId="491440A3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0,01 </w:t>
            </w:r>
          </w:p>
        </w:tc>
      </w:tr>
      <w:tr w:rsidR="003325FE" w:rsidRPr="00DC582B" w14:paraId="4867E13D" w14:textId="77777777" w:rsidTr="00E92AD6">
        <w:tc>
          <w:tcPr>
            <w:tcW w:w="6238" w:type="dxa"/>
          </w:tcPr>
          <w:p w14:paraId="0D2FC3AC" w14:textId="5E70714E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inimum step to raise the quantity (amount) of GOs in MWh</w:t>
            </w:r>
          </w:p>
        </w:tc>
        <w:tc>
          <w:tcPr>
            <w:tcW w:w="4536" w:type="dxa"/>
          </w:tcPr>
          <w:p w14:paraId="7C724FAF" w14:textId="16E86F72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 </w:t>
            </w:r>
          </w:p>
        </w:tc>
      </w:tr>
      <w:tr w:rsidR="003325FE" w:rsidRPr="00DC582B" w14:paraId="5F937E26" w14:textId="77777777" w:rsidTr="00E92AD6">
        <w:tc>
          <w:tcPr>
            <w:tcW w:w="6238" w:type="dxa"/>
          </w:tcPr>
          <w:p w14:paraId="5438B3F4" w14:textId="00A6DC61" w:rsidR="003325FE" w:rsidRPr="00FA0CAF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 rules for accepting bids as valid</w:t>
            </w:r>
          </w:p>
        </w:tc>
        <w:tc>
          <w:tcPr>
            <w:tcW w:w="4536" w:type="dxa"/>
          </w:tcPr>
          <w:p w14:paraId="1E5C8CD5" w14:textId="092FFBB7" w:rsidR="003325FE" w:rsidRPr="00E92AD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16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5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3325FE" w:rsidRPr="00DC582B" w14:paraId="03A882CE" w14:textId="77777777" w:rsidTr="00E92AD6">
        <w:tc>
          <w:tcPr>
            <w:tcW w:w="6238" w:type="dxa"/>
          </w:tcPr>
          <w:p w14:paraId="385B6F8A" w14:textId="17051C7A" w:rsidR="003325FE" w:rsidRPr="00FA0CAF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id classification rules</w:t>
            </w:r>
          </w:p>
        </w:tc>
        <w:tc>
          <w:tcPr>
            <w:tcW w:w="4536" w:type="dxa"/>
          </w:tcPr>
          <w:p w14:paraId="26D2E504" w14:textId="1432BB67" w:rsidR="003325FE" w:rsidRPr="00E92AD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16</w:t>
            </w:r>
          </w:p>
        </w:tc>
      </w:tr>
      <w:tr w:rsidR="00057537" w:rsidRPr="00FA0CAF" w14:paraId="411B230A" w14:textId="77777777" w:rsidTr="00E92AD6">
        <w:tc>
          <w:tcPr>
            <w:tcW w:w="6238" w:type="dxa"/>
          </w:tcPr>
          <w:p w14:paraId="5463FE94" w14:textId="5AD6DB2D" w:rsidR="00057537" w:rsidRPr="00FA0CAF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Notification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Final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 Table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1B2A4EBB" w14:textId="07B9798E" w:rsidR="00057537" w:rsidRPr="00FA0CAF" w:rsidRDefault="00D568B4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25</w:t>
            </w:r>
            <w:r w:rsidRPr="00D568B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June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2025</w:t>
            </w:r>
            <w:r w:rsidR="00057537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05753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the end of the trading period</w:t>
            </w:r>
          </w:p>
        </w:tc>
      </w:tr>
      <w:tr w:rsidR="00057537" w:rsidRPr="00DC582B" w14:paraId="3F63A5C7" w14:textId="77777777" w:rsidTr="00E92AD6">
        <w:tc>
          <w:tcPr>
            <w:tcW w:w="6238" w:type="dxa"/>
          </w:tcPr>
          <w:p w14:paraId="491C1EEF" w14:textId="5D9BD212" w:rsidR="00057537" w:rsidRPr="0050299D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eadline for submitting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appeals</w:t>
            </w:r>
          </w:p>
        </w:tc>
        <w:tc>
          <w:tcPr>
            <w:tcW w:w="4536" w:type="dxa"/>
          </w:tcPr>
          <w:p w14:paraId="56DB8AAB" w14:textId="68F73720" w:rsidR="00057537" w:rsidRPr="0050299D" w:rsidRDefault="00D568B4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6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June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2025</w:t>
            </w:r>
            <w:r w:rsidR="00057537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, 1</w:t>
            </w:r>
            <w:r w:rsidR="00FE4822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0</w:t>
            </w:r>
            <w:r w:rsidR="00057537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:00</w:t>
            </w:r>
            <w:r w:rsidR="0005753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local time</w:t>
            </w:r>
          </w:p>
        </w:tc>
      </w:tr>
      <w:tr w:rsidR="00057537" w:rsidRPr="00DC582B" w14:paraId="28C681F8" w14:textId="77777777" w:rsidTr="00E92AD6">
        <w:tc>
          <w:tcPr>
            <w:tcW w:w="6238" w:type="dxa"/>
          </w:tcPr>
          <w:p w14:paraId="6CDB8D18" w14:textId="06ECD1AF" w:rsidR="00057537" w:rsidRPr="00DC582B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Publication of final results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3DC0CEB3" w14:textId="6CFB6CB1" w:rsidR="00057537" w:rsidRPr="0050299D" w:rsidRDefault="00144A2B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ly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2025</w:t>
            </w:r>
          </w:p>
        </w:tc>
      </w:tr>
      <w:tr w:rsidR="003325FE" w:rsidRPr="00DC582B" w14:paraId="55B17780" w14:textId="77777777" w:rsidTr="00E92AD6">
        <w:tc>
          <w:tcPr>
            <w:tcW w:w="6238" w:type="dxa"/>
          </w:tcPr>
          <w:p w14:paraId="6274D1DF" w14:textId="050B9DA6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Purchase fee per GO (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€ / MWh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  <w:tc>
          <w:tcPr>
            <w:tcW w:w="4536" w:type="dxa"/>
          </w:tcPr>
          <w:p w14:paraId="474BC69E" w14:textId="77777777" w:rsidR="003325FE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,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02</w:t>
            </w:r>
          </w:p>
          <w:p w14:paraId="36A43C7E" w14:textId="34E07C0A" w:rsidR="007261FE" w:rsidRPr="00DC582B" w:rsidRDefault="007261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</w:p>
        </w:tc>
      </w:tr>
      <w:tr w:rsidR="003325FE" w:rsidRPr="00AC57E4" w14:paraId="11E72E13" w14:textId="77777777" w:rsidTr="00E92AD6">
        <w:tc>
          <w:tcPr>
            <w:tcW w:w="6238" w:type="dxa"/>
          </w:tcPr>
          <w:p w14:paraId="14425F84" w14:textId="2EA4B81B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lastRenderedPageBreak/>
              <w:t>Bank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Account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payment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financial claims</w:t>
            </w:r>
          </w:p>
        </w:tc>
        <w:tc>
          <w:tcPr>
            <w:tcW w:w="4536" w:type="dxa"/>
          </w:tcPr>
          <w:p w14:paraId="6AE214B8" w14:textId="321E4159" w:rsidR="003325FE" w:rsidRPr="0089148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NATIONAL BANK OF GREECE</w:t>
            </w:r>
          </w:p>
          <w:p w14:paraId="515701A6" w14:textId="176E0DE9" w:rsidR="003325FE" w:rsidRPr="0089148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ΙΒΑΝ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GR5001101910000019147082374</w:t>
            </w:r>
          </w:p>
        </w:tc>
      </w:tr>
      <w:tr w:rsidR="003325FE" w:rsidRPr="00DC582B" w14:paraId="7A7C7571" w14:textId="77777777" w:rsidTr="00E92AD6">
        <w:tc>
          <w:tcPr>
            <w:tcW w:w="6238" w:type="dxa"/>
          </w:tcPr>
          <w:p w14:paraId="6CDF508A" w14:textId="72CE2C0B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DAPEEP contact details</w:t>
            </w:r>
          </w:p>
        </w:tc>
        <w:tc>
          <w:tcPr>
            <w:tcW w:w="4536" w:type="dxa"/>
          </w:tcPr>
          <w:p w14:paraId="4E219C78" w14:textId="4F81A064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hyperlink r:id="rId10" w:history="1">
              <w:r w:rsidRPr="00BD0430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go@dapeep.gr</w:t>
              </w:r>
            </w:hyperlink>
          </w:p>
        </w:tc>
      </w:tr>
      <w:tr w:rsidR="003325FE" w:rsidRPr="00DC582B" w14:paraId="32CDB9B7" w14:textId="77777777" w:rsidTr="00E92AD6">
        <w:tc>
          <w:tcPr>
            <w:tcW w:w="10774" w:type="dxa"/>
            <w:gridSpan w:val="2"/>
            <w:shd w:val="clear" w:color="auto" w:fill="auto"/>
          </w:tcPr>
          <w:p w14:paraId="0E71C83B" w14:textId="77777777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</w:p>
          <w:p w14:paraId="3E1B27AC" w14:textId="2FD8C5AB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IMP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ORTANT NOTES</w:t>
            </w:r>
          </w:p>
        </w:tc>
      </w:tr>
      <w:tr w:rsidR="003325FE" w:rsidRPr="00FA0CAF" w14:paraId="3FCF43BC" w14:textId="77777777" w:rsidTr="00E92AD6">
        <w:tc>
          <w:tcPr>
            <w:tcW w:w="10774" w:type="dxa"/>
            <w:gridSpan w:val="2"/>
            <w:shd w:val="clear" w:color="auto" w:fill="auto"/>
          </w:tcPr>
          <w:p w14:paraId="195A7F38" w14:textId="3D9AAEDF" w:rsidR="003325FE" w:rsidRPr="00FA0CAF" w:rsidRDefault="003325FE" w:rsidP="003325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trading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period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extended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to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terms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.7,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12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</w:tc>
      </w:tr>
      <w:tr w:rsidR="003325FE" w:rsidRPr="00BD2105" w14:paraId="6499B922" w14:textId="77777777" w:rsidTr="00E92AD6">
        <w:trPr>
          <w:trHeight w:val="80"/>
        </w:trPr>
        <w:tc>
          <w:tcPr>
            <w:tcW w:w="10774" w:type="dxa"/>
            <w:gridSpan w:val="2"/>
            <w:shd w:val="clear" w:color="auto" w:fill="auto"/>
          </w:tcPr>
          <w:p w14:paraId="1D170786" w14:textId="247D869A" w:rsidR="003325FE" w:rsidRPr="00891486" w:rsidRDefault="003325FE" w:rsidP="003325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participant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m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awarded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Requested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Quantity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accordance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with 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Auctions,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provided that the Participant has stated accordingly when submitting the bid. </w:t>
            </w:r>
          </w:p>
          <w:p w14:paraId="00F5043A" w14:textId="5AA4D518" w:rsidR="00057537" w:rsidRPr="002E7756" w:rsidRDefault="00057537" w:rsidP="00057537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distribution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issued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5D0B3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January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5D0B3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February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or </w:t>
            </w:r>
            <w:r w:rsidR="005D0B3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March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 w:rsidR="005D0B3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 follow the rule of par.8, article 18 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  <w:p w14:paraId="2D5FFEBF" w14:textId="7B86B1BD" w:rsidR="003325FE" w:rsidRPr="00891486" w:rsidRDefault="003325FE" w:rsidP="003325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auctioned Guarantees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month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are the following:</w:t>
            </w:r>
          </w:p>
          <w:p w14:paraId="2B025617" w14:textId="27EC7195" w:rsidR="00057537" w:rsidRPr="00BA2659" w:rsidRDefault="005D0B3F" w:rsidP="003325FE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215.896</w:t>
            </w:r>
            <w:r w:rsidR="007C6332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100174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="003325FE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period: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January</w:t>
            </w:r>
            <w:r w:rsidR="00057537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</w:p>
          <w:p w14:paraId="2131EF0E" w14:textId="03EA0335" w:rsidR="003325FE" w:rsidRPr="00BA2659" w:rsidRDefault="005D0B3F" w:rsidP="003325FE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209.101</w:t>
            </w:r>
            <w:r w:rsidR="00AF108B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3325FE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production period: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February</w:t>
            </w:r>
            <w:r w:rsidR="006B180D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</w:p>
          <w:p w14:paraId="19FE8004" w14:textId="198552B4" w:rsidR="003325FE" w:rsidRPr="00057537" w:rsidRDefault="000C4B5B" w:rsidP="003325FE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345.470</w:t>
            </w:r>
            <w:r w:rsidR="00AF108B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3325FE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production period: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March</w:t>
            </w:r>
            <w:r w:rsidR="00057537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6B180D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</w:p>
          <w:p w14:paraId="13ACBB4A" w14:textId="52B3E806" w:rsidR="003325FE" w:rsidRPr="004C1F92" w:rsidRDefault="003325FE" w:rsidP="004C1F92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bookmarkStart w:id="1" w:name="_Hlk168499764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accepting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valid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those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substituting in par.1 case d the term “reserved” and “temporary reserved” with the term “requested” (quantity).</w:t>
            </w:r>
            <w:bookmarkEnd w:id="1"/>
          </w:p>
        </w:tc>
      </w:tr>
    </w:tbl>
    <w:p w14:paraId="77B495BB" w14:textId="77777777" w:rsidR="00216ACE" w:rsidRPr="00BD2105" w:rsidRDefault="00216ACE" w:rsidP="00DC582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24242"/>
          <w:sz w:val="21"/>
          <w:szCs w:val="21"/>
          <w:lang w:val="en-US"/>
        </w:rPr>
      </w:pPr>
    </w:p>
    <w:sectPr w:rsidR="00216ACE" w:rsidRPr="00BD2105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705EA" w14:textId="77777777" w:rsidR="00830D87" w:rsidRDefault="00830D87" w:rsidP="00266084">
      <w:pPr>
        <w:spacing w:after="0" w:line="240" w:lineRule="auto"/>
      </w:pPr>
      <w:r>
        <w:separator/>
      </w:r>
    </w:p>
  </w:endnote>
  <w:endnote w:type="continuationSeparator" w:id="0">
    <w:p w14:paraId="509E5117" w14:textId="77777777" w:rsidR="00830D87" w:rsidRDefault="00830D87" w:rsidP="002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4020577"/>
      <w:docPartObj>
        <w:docPartGallery w:val="Page Numbers (Bottom of Page)"/>
        <w:docPartUnique/>
      </w:docPartObj>
    </w:sdtPr>
    <w:sdtEndPr/>
    <w:sdtContent>
      <w:p w14:paraId="58E5D6C6" w14:textId="7B786A3A" w:rsidR="00E22BFE" w:rsidRDefault="00E22B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FE11063" w14:textId="77777777" w:rsidR="00266084" w:rsidRDefault="0026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0B314" w14:textId="77777777" w:rsidR="00830D87" w:rsidRDefault="00830D87" w:rsidP="00266084">
      <w:pPr>
        <w:spacing w:after="0" w:line="240" w:lineRule="auto"/>
      </w:pPr>
      <w:r>
        <w:separator/>
      </w:r>
    </w:p>
  </w:footnote>
  <w:footnote w:type="continuationSeparator" w:id="0">
    <w:p w14:paraId="6ADFF0BF" w14:textId="77777777" w:rsidR="00830D87" w:rsidRDefault="00830D87" w:rsidP="0026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86F"/>
    <w:multiLevelType w:val="hybridMultilevel"/>
    <w:tmpl w:val="38B04612"/>
    <w:lvl w:ilvl="0" w:tplc="71B4683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7CD"/>
    <w:multiLevelType w:val="hybridMultilevel"/>
    <w:tmpl w:val="B52A9BC8"/>
    <w:lvl w:ilvl="0" w:tplc="533A5BB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44094"/>
    <w:multiLevelType w:val="hybridMultilevel"/>
    <w:tmpl w:val="7C20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06E3"/>
    <w:multiLevelType w:val="hybridMultilevel"/>
    <w:tmpl w:val="D952B27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D7D033D"/>
    <w:multiLevelType w:val="hybridMultilevel"/>
    <w:tmpl w:val="F9CCC202"/>
    <w:lvl w:ilvl="0" w:tplc="53D6AE0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60BDD"/>
    <w:multiLevelType w:val="hybridMultilevel"/>
    <w:tmpl w:val="DFB48AF8"/>
    <w:lvl w:ilvl="0" w:tplc="3F4A58E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0B0E"/>
    <w:multiLevelType w:val="hybridMultilevel"/>
    <w:tmpl w:val="61F46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A19"/>
    <w:multiLevelType w:val="hybridMultilevel"/>
    <w:tmpl w:val="B100F6D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C58E77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6447"/>
    <w:multiLevelType w:val="hybridMultilevel"/>
    <w:tmpl w:val="B198A0AC"/>
    <w:lvl w:ilvl="0" w:tplc="8D4644C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4995"/>
    <w:multiLevelType w:val="hybridMultilevel"/>
    <w:tmpl w:val="38C098EC"/>
    <w:lvl w:ilvl="0" w:tplc="0409001B">
      <w:start w:val="1"/>
      <w:numFmt w:val="lowerRoman"/>
      <w:lvlText w:val="%1."/>
      <w:lvlJc w:val="right"/>
      <w:pPr>
        <w:ind w:left="1638" w:hanging="360"/>
      </w:p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0" w15:restartNumberingAfterBreak="0">
    <w:nsid w:val="617627E3"/>
    <w:multiLevelType w:val="hybridMultilevel"/>
    <w:tmpl w:val="3760DAF2"/>
    <w:lvl w:ilvl="0" w:tplc="E42051BE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34FB"/>
    <w:multiLevelType w:val="hybridMultilevel"/>
    <w:tmpl w:val="7C205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02D9"/>
    <w:multiLevelType w:val="hybridMultilevel"/>
    <w:tmpl w:val="1BAE4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4960">
    <w:abstractNumId w:val="10"/>
  </w:num>
  <w:num w:numId="2" w16cid:durableId="1752193408">
    <w:abstractNumId w:val="3"/>
  </w:num>
  <w:num w:numId="3" w16cid:durableId="963805097">
    <w:abstractNumId w:val="9"/>
  </w:num>
  <w:num w:numId="4" w16cid:durableId="824325165">
    <w:abstractNumId w:val="7"/>
  </w:num>
  <w:num w:numId="5" w16cid:durableId="2060811809">
    <w:abstractNumId w:val="4"/>
  </w:num>
  <w:num w:numId="6" w16cid:durableId="1103963489">
    <w:abstractNumId w:val="0"/>
  </w:num>
  <w:num w:numId="7" w16cid:durableId="741219927">
    <w:abstractNumId w:val="5"/>
  </w:num>
  <w:num w:numId="8" w16cid:durableId="1302689074">
    <w:abstractNumId w:val="8"/>
  </w:num>
  <w:num w:numId="9" w16cid:durableId="1154830418">
    <w:abstractNumId w:val="1"/>
  </w:num>
  <w:num w:numId="10" w16cid:durableId="668170309">
    <w:abstractNumId w:val="11"/>
  </w:num>
  <w:num w:numId="11" w16cid:durableId="1296791437">
    <w:abstractNumId w:val="6"/>
  </w:num>
  <w:num w:numId="12" w16cid:durableId="679743976">
    <w:abstractNumId w:val="2"/>
  </w:num>
  <w:num w:numId="13" w16cid:durableId="935745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8B"/>
    <w:rsid w:val="00057537"/>
    <w:rsid w:val="00073563"/>
    <w:rsid w:val="00081D33"/>
    <w:rsid w:val="000915AE"/>
    <w:rsid w:val="00094237"/>
    <w:rsid w:val="000A7B10"/>
    <w:rsid w:val="000C4B5B"/>
    <w:rsid w:val="000D0BB2"/>
    <w:rsid w:val="000F28BC"/>
    <w:rsid w:val="0010011F"/>
    <w:rsid w:val="00100174"/>
    <w:rsid w:val="0012691B"/>
    <w:rsid w:val="0013261F"/>
    <w:rsid w:val="00141381"/>
    <w:rsid w:val="00144A2B"/>
    <w:rsid w:val="001627F0"/>
    <w:rsid w:val="001A40A0"/>
    <w:rsid w:val="001B4E80"/>
    <w:rsid w:val="001D0815"/>
    <w:rsid w:val="00216ACE"/>
    <w:rsid w:val="002406BE"/>
    <w:rsid w:val="00244BDB"/>
    <w:rsid w:val="0024541C"/>
    <w:rsid w:val="00266084"/>
    <w:rsid w:val="00275E9C"/>
    <w:rsid w:val="002E3DCB"/>
    <w:rsid w:val="002E7756"/>
    <w:rsid w:val="00324F88"/>
    <w:rsid w:val="003325FE"/>
    <w:rsid w:val="00381BEA"/>
    <w:rsid w:val="00390828"/>
    <w:rsid w:val="003B3AC2"/>
    <w:rsid w:val="003C00A3"/>
    <w:rsid w:val="003E5464"/>
    <w:rsid w:val="004077ED"/>
    <w:rsid w:val="004255BB"/>
    <w:rsid w:val="004268C7"/>
    <w:rsid w:val="0048162A"/>
    <w:rsid w:val="00483C4C"/>
    <w:rsid w:val="004A46FC"/>
    <w:rsid w:val="004C1F92"/>
    <w:rsid w:val="004F1DED"/>
    <w:rsid w:val="0050299D"/>
    <w:rsid w:val="0055286A"/>
    <w:rsid w:val="005C438B"/>
    <w:rsid w:val="005C516B"/>
    <w:rsid w:val="005C6061"/>
    <w:rsid w:val="005D0B3F"/>
    <w:rsid w:val="0060300D"/>
    <w:rsid w:val="00676DEF"/>
    <w:rsid w:val="006946E7"/>
    <w:rsid w:val="006A29DB"/>
    <w:rsid w:val="006A73BD"/>
    <w:rsid w:val="006B180D"/>
    <w:rsid w:val="006D25DB"/>
    <w:rsid w:val="00703615"/>
    <w:rsid w:val="00703E5C"/>
    <w:rsid w:val="007261FE"/>
    <w:rsid w:val="00730F0B"/>
    <w:rsid w:val="007417E3"/>
    <w:rsid w:val="007705BF"/>
    <w:rsid w:val="007B1783"/>
    <w:rsid w:val="007C6332"/>
    <w:rsid w:val="007D0DFF"/>
    <w:rsid w:val="00813A30"/>
    <w:rsid w:val="00830D87"/>
    <w:rsid w:val="00831FB6"/>
    <w:rsid w:val="0084017D"/>
    <w:rsid w:val="00844BE0"/>
    <w:rsid w:val="0086240D"/>
    <w:rsid w:val="00891486"/>
    <w:rsid w:val="008C642B"/>
    <w:rsid w:val="008E5D57"/>
    <w:rsid w:val="00900C2A"/>
    <w:rsid w:val="009060B5"/>
    <w:rsid w:val="00921A9B"/>
    <w:rsid w:val="00935F94"/>
    <w:rsid w:val="00955059"/>
    <w:rsid w:val="0095534C"/>
    <w:rsid w:val="0095624A"/>
    <w:rsid w:val="00957671"/>
    <w:rsid w:val="00963F69"/>
    <w:rsid w:val="009C5BFA"/>
    <w:rsid w:val="009F1961"/>
    <w:rsid w:val="00A0534D"/>
    <w:rsid w:val="00A13441"/>
    <w:rsid w:val="00A65EFA"/>
    <w:rsid w:val="00A744C1"/>
    <w:rsid w:val="00AC1A7F"/>
    <w:rsid w:val="00AC57E4"/>
    <w:rsid w:val="00AD4461"/>
    <w:rsid w:val="00AF108B"/>
    <w:rsid w:val="00B2537B"/>
    <w:rsid w:val="00B319FF"/>
    <w:rsid w:val="00B671BB"/>
    <w:rsid w:val="00BA2659"/>
    <w:rsid w:val="00BC5C0C"/>
    <w:rsid w:val="00BD2105"/>
    <w:rsid w:val="00BF506A"/>
    <w:rsid w:val="00CA37AA"/>
    <w:rsid w:val="00CD5CE5"/>
    <w:rsid w:val="00D016BF"/>
    <w:rsid w:val="00D11799"/>
    <w:rsid w:val="00D568B4"/>
    <w:rsid w:val="00D91FB5"/>
    <w:rsid w:val="00DC582B"/>
    <w:rsid w:val="00DF5EE1"/>
    <w:rsid w:val="00E1243A"/>
    <w:rsid w:val="00E22BFE"/>
    <w:rsid w:val="00E900C7"/>
    <w:rsid w:val="00E919DE"/>
    <w:rsid w:val="00E92AD6"/>
    <w:rsid w:val="00EA0410"/>
    <w:rsid w:val="00EA723A"/>
    <w:rsid w:val="00EE2917"/>
    <w:rsid w:val="00EE73DD"/>
    <w:rsid w:val="00EF6161"/>
    <w:rsid w:val="00F27B95"/>
    <w:rsid w:val="00F4039C"/>
    <w:rsid w:val="00F558B7"/>
    <w:rsid w:val="00F8215E"/>
    <w:rsid w:val="00FA0CAF"/>
    <w:rsid w:val="00FA6964"/>
    <w:rsid w:val="00FB3009"/>
    <w:rsid w:val="00FD67DB"/>
    <w:rsid w:val="00FE3ED5"/>
    <w:rsid w:val="00FE4822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0096F"/>
  <w15:chartTrackingRefBased/>
  <w15:docId w15:val="{8C1CC175-616A-43F2-A9D0-4CA416F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38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C4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3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243A"/>
  </w:style>
  <w:style w:type="paragraph" w:styleId="Caption">
    <w:name w:val="caption"/>
    <w:basedOn w:val="Normal"/>
    <w:next w:val="Normal"/>
    <w:uiPriority w:val="35"/>
    <w:unhideWhenUsed/>
    <w:qFormat/>
    <w:rsid w:val="00F8215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84"/>
  </w:style>
  <w:style w:type="paragraph" w:styleId="Footer">
    <w:name w:val="footer"/>
    <w:basedOn w:val="Normal"/>
    <w:link w:val="Foot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84"/>
  </w:style>
  <w:style w:type="paragraph" w:styleId="FootnoteText">
    <w:name w:val="footnote text"/>
    <w:basedOn w:val="Normal"/>
    <w:link w:val="FootnoteTextChar"/>
    <w:uiPriority w:val="99"/>
    <w:semiHidden/>
    <w:unhideWhenUsed/>
    <w:rsid w:val="00963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F6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5C60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o@dapee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@dapee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E206-E64D-4B9E-9D1E-8913AA19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Koulouvari Maria</dc:creator>
  <cp:keywords/>
  <dc:description/>
  <cp:lastModifiedBy>Vamvakas Christos</cp:lastModifiedBy>
  <cp:revision>2</cp:revision>
  <dcterms:created xsi:type="dcterms:W3CDTF">2025-06-06T06:49:00Z</dcterms:created>
  <dcterms:modified xsi:type="dcterms:W3CDTF">2025-06-06T06:49:00Z</dcterms:modified>
</cp:coreProperties>
</file>